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33" w:type="dxa"/>
        <w:tblInd w:w="-156" w:type="dxa"/>
        <w:tblCellMar>
          <w:top w:w="6" w:type="dxa"/>
          <w:left w:w="108" w:type="dxa"/>
          <w:bottom w:w="5" w:type="dxa"/>
          <w:right w:w="208" w:type="dxa"/>
        </w:tblCellMar>
        <w:tblLook w:val="04A0" w:firstRow="1" w:lastRow="0" w:firstColumn="1" w:lastColumn="0" w:noHBand="0" w:noVBand="1"/>
      </w:tblPr>
      <w:tblGrid>
        <w:gridCol w:w="9333"/>
      </w:tblGrid>
      <w:tr w:rsidR="009256B1" w:rsidTr="00BA3F1E">
        <w:trPr>
          <w:trHeight w:val="2959"/>
        </w:trPr>
        <w:tc>
          <w:tcPr>
            <w:tcW w:w="9333" w:type="dxa"/>
            <w:tcBorders>
              <w:top w:val="single" w:sz="4" w:space="0" w:color="000000"/>
              <w:left w:val="single" w:sz="4" w:space="0" w:color="000000"/>
              <w:bottom w:val="single" w:sz="4" w:space="0" w:color="000000"/>
              <w:right w:val="single" w:sz="4" w:space="0" w:color="000000"/>
            </w:tcBorders>
            <w:vAlign w:val="bottom"/>
          </w:tcPr>
          <w:p w:rsidR="00286F63" w:rsidRPr="00286F63" w:rsidRDefault="00286F63" w:rsidP="00286F63">
            <w:pPr>
              <w:spacing w:after="44"/>
              <w:ind w:left="12"/>
              <w:rPr>
                <w:lang w:val="en-US"/>
              </w:rPr>
            </w:pPr>
            <w:r>
              <w:t xml:space="preserve">                                                               </w:t>
            </w:r>
            <w:r w:rsidRPr="00286F63">
              <w:rPr>
                <w:noProof/>
              </w:rPr>
              <w:drawing>
                <wp:inline distT="0" distB="0" distL="0" distR="0">
                  <wp:extent cx="1028700" cy="904875"/>
                  <wp:effectExtent l="0" t="0" r="0" b="9525"/>
                  <wp:docPr id="4" name="Picture 4" descr="NEW MOTTO F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MOTTO FO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904875"/>
                          </a:xfrm>
                          <a:prstGeom prst="rect">
                            <a:avLst/>
                          </a:prstGeom>
                          <a:noFill/>
                          <a:ln>
                            <a:noFill/>
                          </a:ln>
                        </pic:spPr>
                      </pic:pic>
                    </a:graphicData>
                  </a:graphic>
                </wp:inline>
              </w:drawing>
            </w:r>
          </w:p>
          <w:p w:rsidR="00286F63" w:rsidRPr="00286F63" w:rsidRDefault="00286F63" w:rsidP="00286F63">
            <w:pPr>
              <w:spacing w:after="44"/>
              <w:ind w:left="12"/>
              <w:jc w:val="center"/>
              <w:rPr>
                <w:b/>
                <w:lang w:val="en-US"/>
              </w:rPr>
            </w:pPr>
            <w:r w:rsidRPr="00286F63">
              <w:rPr>
                <w:b/>
                <w:lang w:val="en-US"/>
              </w:rPr>
              <w:t>NQUTHU MUNICIPALITY</w:t>
            </w:r>
          </w:p>
          <w:p w:rsidR="00286F63" w:rsidRPr="00286F63" w:rsidRDefault="00286F63" w:rsidP="00286F63">
            <w:pPr>
              <w:spacing w:after="44"/>
              <w:ind w:left="12"/>
              <w:jc w:val="center"/>
              <w:rPr>
                <w:b/>
                <w:lang w:val="en-US"/>
              </w:rPr>
            </w:pPr>
            <w:r w:rsidRPr="00286F63">
              <w:rPr>
                <w:b/>
                <w:lang w:val="en-US"/>
              </w:rPr>
              <w:t>UMASIPALA WASE NQUTHU</w:t>
            </w:r>
          </w:p>
          <w:p w:rsidR="00286F63" w:rsidRPr="00286F63" w:rsidRDefault="00286F63" w:rsidP="00286F63">
            <w:pPr>
              <w:spacing w:after="44"/>
              <w:ind w:left="12"/>
              <w:jc w:val="center"/>
              <w:rPr>
                <w:lang w:val="en-US"/>
              </w:rPr>
            </w:pPr>
            <w:r w:rsidRPr="00286F63">
              <w:rPr>
                <w:lang w:val="en-US"/>
              </w:rPr>
              <w:t>Private Bag X5521, NQUTHU, 3135</w:t>
            </w:r>
          </w:p>
          <w:p w:rsidR="009256B1" w:rsidRDefault="00286F63" w:rsidP="00286F63">
            <w:pPr>
              <w:spacing w:after="44"/>
              <w:ind w:left="12"/>
              <w:jc w:val="center"/>
            </w:pPr>
            <w:r w:rsidRPr="00286F63">
              <w:rPr>
                <w:lang w:val="en-US"/>
              </w:rPr>
              <w:t>Tel: +27(0)34 271 6100, Fax: +27(0) 34 271 6111</w:t>
            </w:r>
          </w:p>
          <w:p w:rsidR="009256B1" w:rsidRDefault="009256B1"/>
        </w:tc>
      </w:tr>
      <w:tr w:rsidR="009256B1">
        <w:trPr>
          <w:trHeight w:val="382"/>
        </w:trPr>
        <w:tc>
          <w:tcPr>
            <w:tcW w:w="9333" w:type="dxa"/>
            <w:tcBorders>
              <w:top w:val="single" w:sz="4" w:space="0" w:color="000000"/>
              <w:left w:val="single" w:sz="4" w:space="0" w:color="000000"/>
              <w:bottom w:val="single" w:sz="4" w:space="0" w:color="000000"/>
              <w:right w:val="single" w:sz="4" w:space="0" w:color="000000"/>
            </w:tcBorders>
          </w:tcPr>
          <w:p w:rsidR="009256B1" w:rsidRPr="00FE2958" w:rsidRDefault="00AC4934">
            <w:pPr>
              <w:ind w:left="101"/>
              <w:jc w:val="center"/>
              <w:rPr>
                <w:rFonts w:ascii="Arial" w:eastAsia="Arial" w:hAnsi="Arial" w:cs="Arial"/>
              </w:rPr>
            </w:pPr>
            <w:r w:rsidRPr="00FE2958">
              <w:rPr>
                <w:rFonts w:ascii="Arial" w:eastAsia="Arial" w:hAnsi="Arial" w:cs="Arial"/>
              </w:rPr>
              <w:t>NOTICE NQU</w:t>
            </w:r>
            <w:r w:rsidR="009B1995" w:rsidRPr="00FE2958">
              <w:rPr>
                <w:rFonts w:ascii="Arial" w:eastAsia="Arial" w:hAnsi="Arial" w:cs="Arial"/>
              </w:rPr>
              <w:t>/2022</w:t>
            </w:r>
          </w:p>
          <w:p w:rsidR="00FE2958" w:rsidRPr="00FE2958" w:rsidRDefault="00FE2958">
            <w:pPr>
              <w:ind w:left="101"/>
              <w:jc w:val="center"/>
              <w:rPr>
                <w:rFonts w:ascii="Arial" w:eastAsia="Arial" w:hAnsi="Arial" w:cs="Arial"/>
              </w:rPr>
            </w:pPr>
          </w:p>
          <w:p w:rsidR="00FE2958" w:rsidRPr="00FE2958" w:rsidRDefault="00FE2958" w:rsidP="00FE2958">
            <w:pPr>
              <w:rPr>
                <w:rFonts w:ascii="Arial" w:eastAsia="Arial" w:hAnsi="Arial" w:cs="Arial"/>
              </w:rPr>
            </w:pPr>
            <w:r w:rsidRPr="00FE2958">
              <w:rPr>
                <w:rFonts w:ascii="Arial" w:eastAsia="Arial" w:hAnsi="Arial" w:cs="Arial"/>
              </w:rPr>
              <w:t xml:space="preserve">NOTICE IN TERMS OF SECTION 116(3) OF THE LOCAL GOVERNMENT: </w:t>
            </w:r>
          </w:p>
          <w:p w:rsidR="00FE2958" w:rsidRPr="00FE2958" w:rsidRDefault="00FE2958" w:rsidP="00FE2958">
            <w:pPr>
              <w:rPr>
                <w:rFonts w:ascii="Arial" w:eastAsia="Arial" w:hAnsi="Arial" w:cs="Arial"/>
              </w:rPr>
            </w:pPr>
            <w:r w:rsidRPr="00FE2958">
              <w:rPr>
                <w:rFonts w:ascii="Arial" w:eastAsia="Arial" w:hAnsi="Arial" w:cs="Arial"/>
              </w:rPr>
              <w:t xml:space="preserve">MUNICIPAL FINANCE MANAGEMENT ACT, 2003 (ACT 56 OF 2003) FOR THE AMENDMENT TO THE EXISTING APPOINTMENT OF MELOKUHLE FOR THE AWARDED TENDER NQU5000/018/2019 FOR THE NQUTHU RESIDENTIAL DEVELOPMENT PHASE 1.  </w:t>
            </w:r>
          </w:p>
          <w:p w:rsidR="00FE2958" w:rsidRPr="00FE2958" w:rsidRDefault="00FE2958" w:rsidP="00FE2958">
            <w:pPr>
              <w:rPr>
                <w:rFonts w:ascii="Arial" w:eastAsia="Arial" w:hAnsi="Arial" w:cs="Arial"/>
              </w:rPr>
            </w:pPr>
          </w:p>
          <w:p w:rsidR="00FE2958" w:rsidRPr="00FE2958" w:rsidRDefault="00FE2958" w:rsidP="00FE2958">
            <w:pPr>
              <w:rPr>
                <w:rFonts w:ascii="Arial" w:eastAsia="Arial" w:hAnsi="Arial" w:cs="Arial"/>
              </w:rPr>
            </w:pPr>
            <w:r w:rsidRPr="00FE2958">
              <w:rPr>
                <w:rFonts w:ascii="Arial" w:eastAsia="Arial" w:hAnsi="Arial" w:cs="Arial"/>
              </w:rPr>
              <w:t xml:space="preserve">Notice is hereby given in terms of Section 116 (3) (a) and (b) of the Local Government: Municipal Finance Management Act, 2003 (Act 56 of 2003) that it is the intention of the Nquthu Municipality to amend the existing contract: </w:t>
            </w:r>
          </w:p>
          <w:p w:rsidR="00FE2958" w:rsidRPr="00FE2958" w:rsidRDefault="00FE2958" w:rsidP="00FE2958">
            <w:pPr>
              <w:rPr>
                <w:rFonts w:ascii="Arial" w:eastAsia="Arial" w:hAnsi="Arial" w:cs="Arial"/>
              </w:rPr>
            </w:pPr>
            <w:r w:rsidRPr="00FE2958">
              <w:rPr>
                <w:rFonts w:ascii="Arial" w:eastAsia="Arial" w:hAnsi="Arial" w:cs="Arial"/>
              </w:rPr>
              <w:t>Number: NQU5000/018/2019-2020.</w:t>
            </w:r>
          </w:p>
          <w:p w:rsidR="00FE2958" w:rsidRPr="00FE2958" w:rsidRDefault="00FE2958" w:rsidP="00FE2958">
            <w:pPr>
              <w:rPr>
                <w:rFonts w:ascii="Arial" w:eastAsia="Arial" w:hAnsi="Arial" w:cs="Arial"/>
              </w:rPr>
            </w:pPr>
            <w:r w:rsidRPr="00FE2958">
              <w:rPr>
                <w:rFonts w:ascii="Arial" w:eastAsia="Arial" w:hAnsi="Arial" w:cs="Arial"/>
              </w:rPr>
              <w:t>Description: AMENDMENT TO THE EXISTING APPOINTMENT OF MEL</w:t>
            </w:r>
            <w:r>
              <w:rPr>
                <w:rFonts w:ascii="Arial" w:eastAsia="Arial" w:hAnsi="Arial" w:cs="Arial"/>
              </w:rPr>
              <w:t>A</w:t>
            </w:r>
            <w:r w:rsidRPr="00FE2958">
              <w:rPr>
                <w:rFonts w:ascii="Arial" w:eastAsia="Arial" w:hAnsi="Arial" w:cs="Arial"/>
              </w:rPr>
              <w:t xml:space="preserve">OKUHLE PROJECTS FOR THE AWARDED TENDER: NQU 5000/017/2019-2020 FOR THE NQUTHU RESIDENTIAL DEVELOPMENT – ROADS AND STORMWATER. </w:t>
            </w:r>
          </w:p>
          <w:p w:rsidR="00FE2958" w:rsidRPr="00FE2958" w:rsidRDefault="00FE2958" w:rsidP="00FE2958">
            <w:pPr>
              <w:rPr>
                <w:rFonts w:ascii="Arial" w:eastAsia="Arial" w:hAnsi="Arial" w:cs="Arial"/>
              </w:rPr>
            </w:pPr>
            <w:r w:rsidRPr="00FE2958">
              <w:rPr>
                <w:rFonts w:ascii="Arial" w:eastAsia="Arial" w:hAnsi="Arial" w:cs="Arial"/>
              </w:rPr>
              <w:t>Consultant: DLV PROJECT MANAGEMENT AND ENGINEERS (PTY) Ltd.</w:t>
            </w:r>
          </w:p>
          <w:p w:rsidR="00FE2958" w:rsidRPr="00FE2958" w:rsidRDefault="00FE2958" w:rsidP="00FE2958">
            <w:pPr>
              <w:rPr>
                <w:rFonts w:ascii="Arial" w:eastAsia="Arial" w:hAnsi="Arial" w:cs="Arial"/>
              </w:rPr>
            </w:pPr>
            <w:r w:rsidRPr="00FE2958">
              <w:rPr>
                <w:rFonts w:ascii="Arial" w:eastAsia="Arial" w:hAnsi="Arial" w:cs="Arial"/>
              </w:rPr>
              <w:t xml:space="preserve">Reasons for the proposed amendment: </w:t>
            </w:r>
          </w:p>
          <w:p w:rsidR="00FE2958" w:rsidRPr="00FE2958" w:rsidRDefault="00FE2958" w:rsidP="00FE2958">
            <w:pPr>
              <w:rPr>
                <w:rFonts w:ascii="Arial" w:eastAsia="Arial" w:hAnsi="Arial" w:cs="Arial"/>
              </w:rPr>
            </w:pPr>
            <w:r w:rsidRPr="00FE2958">
              <w:rPr>
                <w:rFonts w:ascii="Arial" w:eastAsia="Arial" w:hAnsi="Arial" w:cs="Arial"/>
              </w:rPr>
              <w:t>The original contract was terminated on the 28</w:t>
            </w:r>
            <w:r w:rsidRPr="00FE2958">
              <w:rPr>
                <w:rFonts w:ascii="Arial" w:eastAsia="Arial" w:hAnsi="Arial" w:cs="Arial"/>
                <w:vertAlign w:val="superscript"/>
              </w:rPr>
              <w:t>th</w:t>
            </w:r>
            <w:r w:rsidRPr="00FE2958">
              <w:rPr>
                <w:rFonts w:ascii="Arial" w:eastAsia="Arial" w:hAnsi="Arial" w:cs="Arial"/>
              </w:rPr>
              <w:t xml:space="preserve"> May 2021. The project site is currently containing open tranches and excavated road servitudes that are both a hazards to the public and will deteriorate the longer it is left unattended resulting in additional costs. The new tender rates are anticipated to be much high than the previous rates. </w:t>
            </w:r>
          </w:p>
          <w:p w:rsidR="00FE2958" w:rsidRPr="00FE2958" w:rsidRDefault="00FE2958" w:rsidP="00FE2958">
            <w:pPr>
              <w:rPr>
                <w:rFonts w:ascii="Arial" w:eastAsia="Arial" w:hAnsi="Arial" w:cs="Arial"/>
              </w:rPr>
            </w:pPr>
            <w:r w:rsidRPr="00FE2958">
              <w:rPr>
                <w:rFonts w:ascii="Arial" w:eastAsia="Arial" w:hAnsi="Arial" w:cs="Arial"/>
              </w:rPr>
              <w:t xml:space="preserve">The extension of the appointment terms is required to enable the completion of the implementation process of Nquthu residential development – roads and stormwater which forms part of the original scope of work for Nquthu residential development Phase 2. </w:t>
            </w:r>
          </w:p>
          <w:p w:rsidR="00FE2958" w:rsidRPr="00FE2958" w:rsidRDefault="00FE2958" w:rsidP="00FE2958">
            <w:pPr>
              <w:rPr>
                <w:rFonts w:ascii="Arial" w:eastAsia="Arial" w:hAnsi="Arial" w:cs="Arial"/>
              </w:rPr>
            </w:pPr>
            <w:r w:rsidRPr="00FE2958">
              <w:rPr>
                <w:rFonts w:ascii="Arial" w:eastAsia="Arial" w:hAnsi="Arial" w:cs="Arial"/>
              </w:rPr>
              <w:t>The scope of work in the phase 1 project includes work of similar nature to Nquthu residential development phase 2, therefore their existing rates may be carried over into the completion contract. Also the contractor meets the CIDB grading requirements for the project.</w:t>
            </w:r>
          </w:p>
          <w:p w:rsidR="00FE2958" w:rsidRPr="00FE2958" w:rsidRDefault="00FE2958" w:rsidP="00FE2958">
            <w:pPr>
              <w:rPr>
                <w:rFonts w:ascii="Arial" w:eastAsia="Arial" w:hAnsi="Arial" w:cs="Arial"/>
              </w:rPr>
            </w:pPr>
            <w:r w:rsidRPr="00FE2958">
              <w:rPr>
                <w:rFonts w:ascii="Arial" w:eastAsia="Arial" w:hAnsi="Arial" w:cs="Arial"/>
              </w:rPr>
              <w:t xml:space="preserve">The current appointed service provider has established a valuable relationship with the affected parties which is an integral part of this specific process. It is in the best interest for the Municipality to proceed with the current service provider to complete the scope of work. </w:t>
            </w:r>
          </w:p>
          <w:p w:rsidR="00FE2958" w:rsidRPr="00FE2958" w:rsidRDefault="00FE2958" w:rsidP="00FE2958">
            <w:pPr>
              <w:rPr>
                <w:rFonts w:ascii="Arial" w:eastAsia="Arial" w:hAnsi="Arial" w:cs="Arial"/>
              </w:rPr>
            </w:pPr>
            <w:r w:rsidRPr="00FE2958">
              <w:rPr>
                <w:rFonts w:ascii="Arial" w:eastAsia="Arial" w:hAnsi="Arial" w:cs="Arial"/>
              </w:rPr>
              <w:t xml:space="preserve">It is therefore not practical or cost effective for Nquthu Municipality to appoint a new service provider for what is merely a continuation of the ongoing Nquthu residential development. </w:t>
            </w:r>
          </w:p>
          <w:p w:rsidR="00FE2958" w:rsidRPr="00FE2958" w:rsidRDefault="00FE2958" w:rsidP="00FE2958">
            <w:pPr>
              <w:rPr>
                <w:rFonts w:ascii="Arial" w:eastAsia="Arial" w:hAnsi="Arial" w:cs="Arial"/>
              </w:rPr>
            </w:pPr>
            <w:r w:rsidRPr="00FE2958">
              <w:rPr>
                <w:rFonts w:ascii="Arial" w:eastAsia="Arial" w:hAnsi="Arial" w:cs="Arial"/>
              </w:rPr>
              <w:t xml:space="preserve">Notice is hereby further given in terms of Section 21 and 21A of the Local Government: Municipal Systems Act, 2000 (Act 32 of 2000) that the local community and interested / affected parties are invited to submit comment/s or representations to the Municipality in respect of the above, such comments or representations must be received within 14 days of advertisement via electronic mail to the e-mail address provided below, or be delivered to the undersigned to the mailing address provided hereunder. </w:t>
            </w:r>
          </w:p>
          <w:p w:rsidR="00FE2958" w:rsidRPr="00FE2958" w:rsidRDefault="00FE2958" w:rsidP="00FE2958">
            <w:pPr>
              <w:rPr>
                <w:rFonts w:ascii="Arial" w:eastAsia="Arial" w:hAnsi="Arial" w:cs="Arial"/>
              </w:rPr>
            </w:pPr>
            <w:r w:rsidRPr="00FE2958">
              <w:rPr>
                <w:rFonts w:ascii="Arial" w:eastAsia="Arial" w:hAnsi="Arial" w:cs="Arial"/>
              </w:rPr>
              <w:t>Persons who are physically disabled or who cannot read or write but wish to participate in the process, may come during office hours to the Municipal Offices, Supply Chain Department:</w:t>
            </w:r>
          </w:p>
          <w:p w:rsidR="00FE2958" w:rsidRPr="00FE2958" w:rsidRDefault="00FE2958" w:rsidP="00FE2958">
            <w:pPr>
              <w:rPr>
                <w:rFonts w:ascii="Arial" w:eastAsia="Arial" w:hAnsi="Arial" w:cs="Arial"/>
              </w:rPr>
            </w:pPr>
            <w:r w:rsidRPr="00FE2958">
              <w:rPr>
                <w:rFonts w:ascii="Arial" w:eastAsia="Arial" w:hAnsi="Arial" w:cs="Arial"/>
              </w:rPr>
              <w:t xml:space="preserve">Lot 83/2, Mdlalose Street, Nquthu, 3135. </w:t>
            </w:r>
          </w:p>
          <w:p w:rsidR="00FE2958" w:rsidRPr="00FE2958" w:rsidRDefault="00FE2958" w:rsidP="00FE2958">
            <w:pPr>
              <w:rPr>
                <w:rFonts w:ascii="Arial" w:eastAsia="Arial" w:hAnsi="Arial" w:cs="Arial"/>
              </w:rPr>
            </w:pPr>
            <w:r w:rsidRPr="00FE2958">
              <w:rPr>
                <w:rFonts w:ascii="Arial" w:eastAsia="Arial" w:hAnsi="Arial" w:cs="Arial"/>
              </w:rPr>
              <w:t>Comments must be submitted to the following e-mail addresses: mm@nquthu.gov.za and nzmbongwa@nquthu.gov.za, with the subject line entitled “NQU5000/018/2019-2020. COMMENTS ON NOTICE OF AMENDMENT TO THE EXISTING APPOINTMENT OF MEL</w:t>
            </w:r>
            <w:r>
              <w:rPr>
                <w:rFonts w:ascii="Arial" w:eastAsia="Arial" w:hAnsi="Arial" w:cs="Arial"/>
              </w:rPr>
              <w:t>A</w:t>
            </w:r>
            <w:r w:rsidRPr="00FE2958">
              <w:rPr>
                <w:rFonts w:ascii="Arial" w:eastAsia="Arial" w:hAnsi="Arial" w:cs="Arial"/>
              </w:rPr>
              <w:t xml:space="preserve">OKUHLE PROJECTS FOR THE AWARDED TENDER NQU5000/017/2019-2020 FOR THE NQUTHU DEVELOPMENT PHASE2 ROAD AND STORM WATER COMPLETION. </w:t>
            </w:r>
          </w:p>
          <w:p w:rsidR="00FE2958" w:rsidRPr="00FE2958" w:rsidRDefault="00FE2958" w:rsidP="00FE2958">
            <w:pPr>
              <w:rPr>
                <w:rFonts w:ascii="Arial" w:eastAsia="Arial" w:hAnsi="Arial" w:cs="Arial"/>
              </w:rPr>
            </w:pPr>
            <w:r w:rsidRPr="00FE2958">
              <w:rPr>
                <w:rFonts w:ascii="Arial" w:eastAsia="Arial" w:hAnsi="Arial" w:cs="Arial"/>
              </w:rPr>
              <w:lastRenderedPageBreak/>
              <w:t xml:space="preserve">The closing time for the submission of comments must be received within 14 days of advertisement at 12h00. No comments received after this time and date will be considered. </w:t>
            </w:r>
          </w:p>
          <w:p w:rsidR="00FE2958" w:rsidRPr="00FE2958" w:rsidRDefault="00FE2958" w:rsidP="00FE2958">
            <w:pPr>
              <w:rPr>
                <w:rFonts w:ascii="Arial" w:eastAsia="Arial" w:hAnsi="Arial" w:cs="Arial"/>
              </w:rPr>
            </w:pPr>
            <w:r w:rsidRPr="00FE2958">
              <w:rPr>
                <w:rFonts w:ascii="Arial" w:eastAsia="Arial" w:hAnsi="Arial" w:cs="Arial"/>
              </w:rPr>
              <w:t xml:space="preserve">All enquiries regarding this intent can be directed to the following official: </w:t>
            </w:r>
          </w:p>
          <w:p w:rsidR="00FE2958" w:rsidRPr="00FE2958" w:rsidRDefault="00FE2958" w:rsidP="00FE2958">
            <w:pPr>
              <w:rPr>
                <w:rFonts w:ascii="Arial" w:eastAsia="Arial" w:hAnsi="Arial" w:cs="Arial"/>
              </w:rPr>
            </w:pPr>
          </w:p>
          <w:p w:rsidR="00FE2958" w:rsidRPr="00FE2958" w:rsidRDefault="00FE2958">
            <w:pPr>
              <w:ind w:left="101"/>
              <w:jc w:val="center"/>
              <w:rPr>
                <w:rFonts w:ascii="Arial" w:eastAsia="Arial" w:hAnsi="Arial" w:cs="Arial"/>
              </w:rPr>
            </w:pPr>
          </w:p>
          <w:p w:rsidR="00FE2958" w:rsidRPr="00FE2958" w:rsidRDefault="00FE2958">
            <w:pPr>
              <w:ind w:left="101"/>
              <w:jc w:val="center"/>
            </w:pPr>
          </w:p>
        </w:tc>
      </w:tr>
      <w:tr w:rsidR="00286F63">
        <w:trPr>
          <w:trHeight w:val="1538"/>
        </w:trPr>
        <w:tc>
          <w:tcPr>
            <w:tcW w:w="9333" w:type="dxa"/>
            <w:tcBorders>
              <w:top w:val="single" w:sz="4" w:space="0" w:color="000000"/>
              <w:left w:val="single" w:sz="4" w:space="0" w:color="000000"/>
              <w:bottom w:val="single" w:sz="4" w:space="0" w:color="000000"/>
              <w:right w:val="single" w:sz="4" w:space="0" w:color="000000"/>
            </w:tcBorders>
          </w:tcPr>
          <w:p w:rsidR="00286F63" w:rsidRDefault="00286F63" w:rsidP="00BA3F1E">
            <w:pPr>
              <w:spacing w:after="16"/>
            </w:pPr>
          </w:p>
          <w:p w:rsidR="00286F63" w:rsidRDefault="00286F63" w:rsidP="00286F63">
            <w:pPr>
              <w:ind w:left="283"/>
            </w:pPr>
          </w:p>
          <w:p w:rsidR="00286F63" w:rsidRDefault="00286F63" w:rsidP="00286F63">
            <w:pPr>
              <w:ind w:left="185"/>
            </w:pPr>
            <w:r>
              <w:rPr>
                <w:rFonts w:ascii="Arial" w:eastAsia="Arial" w:hAnsi="Arial" w:cs="Arial"/>
                <w:sz w:val="19"/>
              </w:rPr>
              <w:t xml:space="preserve">All enquiries regarding this intent can be directed to the following official: </w:t>
            </w:r>
          </w:p>
          <w:p w:rsidR="00286F63" w:rsidRDefault="00286F63" w:rsidP="00286F63">
            <w:pPr>
              <w:tabs>
                <w:tab w:val="center" w:pos="1034"/>
                <w:tab w:val="center" w:pos="2851"/>
              </w:tabs>
            </w:pPr>
            <w:r>
              <w:tab/>
            </w:r>
            <w:r w:rsidR="00BA3F1E">
              <w:t xml:space="preserve">     </w:t>
            </w:r>
            <w:r>
              <w:rPr>
                <w:rFonts w:ascii="Arial" w:eastAsia="Arial" w:hAnsi="Arial" w:cs="Arial"/>
                <w:sz w:val="19"/>
              </w:rPr>
              <w:t>Na</w:t>
            </w:r>
            <w:r w:rsidR="00E86855">
              <w:rPr>
                <w:rFonts w:ascii="Arial" w:eastAsia="Arial" w:hAnsi="Arial" w:cs="Arial"/>
                <w:sz w:val="19"/>
              </w:rPr>
              <w:t xml:space="preserve">me and Surname     </w:t>
            </w:r>
            <w:r w:rsidR="00BA3F1E">
              <w:rPr>
                <w:rFonts w:ascii="Arial" w:eastAsia="Arial" w:hAnsi="Arial" w:cs="Arial"/>
                <w:sz w:val="19"/>
              </w:rPr>
              <w:t xml:space="preserve"> </w:t>
            </w:r>
            <w:r w:rsidR="00CE7169">
              <w:rPr>
                <w:rFonts w:ascii="Arial" w:eastAsia="Arial" w:hAnsi="Arial" w:cs="Arial"/>
                <w:sz w:val="19"/>
              </w:rPr>
              <w:t xml:space="preserve"> : Mr</w:t>
            </w:r>
            <w:r w:rsidR="00BA3F1E">
              <w:rPr>
                <w:rFonts w:ascii="Arial" w:eastAsia="Arial" w:hAnsi="Arial" w:cs="Arial"/>
                <w:sz w:val="19"/>
              </w:rPr>
              <w:t xml:space="preserve"> SB </w:t>
            </w:r>
            <w:proofErr w:type="gramStart"/>
            <w:r w:rsidR="00BA3F1E">
              <w:rPr>
                <w:rFonts w:ascii="Arial" w:eastAsia="Arial" w:hAnsi="Arial" w:cs="Arial"/>
                <w:sz w:val="19"/>
              </w:rPr>
              <w:t>Mthembu  /</w:t>
            </w:r>
            <w:proofErr w:type="gramEnd"/>
            <w:r w:rsidR="00BA3F1E">
              <w:rPr>
                <w:rFonts w:ascii="Arial" w:eastAsia="Arial" w:hAnsi="Arial" w:cs="Arial"/>
                <w:sz w:val="19"/>
              </w:rPr>
              <w:t xml:space="preserve"> Mrs NZ Mbongwa</w:t>
            </w:r>
          </w:p>
          <w:p w:rsidR="00286F63" w:rsidRDefault="00286F63" w:rsidP="00286F63">
            <w:pPr>
              <w:tabs>
                <w:tab w:val="center" w:pos="817"/>
                <w:tab w:val="center" w:pos="3548"/>
              </w:tabs>
            </w:pPr>
            <w:r>
              <w:tab/>
            </w:r>
            <w:r w:rsidR="0074013F">
              <w:t xml:space="preserve">     </w:t>
            </w:r>
            <w:r w:rsidR="0074013F">
              <w:rPr>
                <w:rFonts w:ascii="Arial" w:eastAsia="Arial" w:hAnsi="Arial" w:cs="Arial"/>
                <w:sz w:val="19"/>
              </w:rPr>
              <w:t>E-mail addres</w:t>
            </w:r>
            <w:r w:rsidR="00EB66E4">
              <w:rPr>
                <w:rFonts w:ascii="Arial" w:eastAsia="Arial" w:hAnsi="Arial" w:cs="Arial"/>
                <w:sz w:val="19"/>
              </w:rPr>
              <w:t>s</w:t>
            </w:r>
            <w:r w:rsidR="0074013F">
              <w:rPr>
                <w:rFonts w:ascii="Arial" w:eastAsia="Arial" w:hAnsi="Arial" w:cs="Arial"/>
                <w:sz w:val="19"/>
              </w:rPr>
              <w:t xml:space="preserve">              </w:t>
            </w:r>
            <w:r w:rsidR="00EB66E4">
              <w:rPr>
                <w:rFonts w:ascii="Arial" w:eastAsia="Arial" w:hAnsi="Arial" w:cs="Arial"/>
                <w:sz w:val="19"/>
              </w:rPr>
              <w:t xml:space="preserve"> :</w:t>
            </w:r>
            <w:r w:rsidR="0074013F">
              <w:rPr>
                <w:rFonts w:ascii="Arial" w:eastAsia="Arial" w:hAnsi="Arial" w:cs="Arial"/>
                <w:sz w:val="19"/>
              </w:rPr>
              <w:t xml:space="preserve"> </w:t>
            </w:r>
            <w:hyperlink r:id="rId5" w:history="1">
              <w:r w:rsidR="00EB66E4" w:rsidRPr="00D12700">
                <w:rPr>
                  <w:rStyle w:val="Hyperlink"/>
                  <w:rFonts w:ascii="Arial" w:eastAsia="Arial" w:hAnsi="Arial" w:cs="Arial"/>
                  <w:sz w:val="19"/>
                </w:rPr>
                <w:t>mm@nquthu.gov.za</w:t>
              </w:r>
            </w:hyperlink>
            <w:r w:rsidR="00EB66E4">
              <w:rPr>
                <w:rFonts w:ascii="Arial" w:eastAsia="Arial" w:hAnsi="Arial" w:cs="Arial"/>
                <w:sz w:val="19"/>
              </w:rPr>
              <w:t xml:space="preserve"> / </w:t>
            </w:r>
            <w:r w:rsidR="0074013F">
              <w:rPr>
                <w:rFonts w:ascii="Arial" w:eastAsia="Arial" w:hAnsi="Arial" w:cs="Arial"/>
                <w:sz w:val="19"/>
              </w:rPr>
              <w:t>nzmbongwa@nquthu</w:t>
            </w:r>
            <w:r>
              <w:rPr>
                <w:rFonts w:ascii="Arial" w:eastAsia="Arial" w:hAnsi="Arial" w:cs="Arial"/>
                <w:sz w:val="19"/>
              </w:rPr>
              <w:t xml:space="preserve">.gov.za </w:t>
            </w:r>
          </w:p>
          <w:p w:rsidR="00286F63" w:rsidRDefault="00286F63" w:rsidP="00286F63">
            <w:pPr>
              <w:tabs>
                <w:tab w:val="center" w:pos="902"/>
                <w:tab w:val="center" w:pos="3279"/>
              </w:tabs>
            </w:pPr>
            <w:r>
              <w:tab/>
            </w:r>
            <w:r w:rsidR="0074013F">
              <w:t xml:space="preserve">    </w:t>
            </w:r>
            <w:r w:rsidR="0074013F">
              <w:rPr>
                <w:rFonts w:ascii="Arial" w:eastAsia="Arial" w:hAnsi="Arial" w:cs="Arial"/>
                <w:sz w:val="19"/>
              </w:rPr>
              <w:t xml:space="preserve">Physical address           </w:t>
            </w:r>
            <w:r w:rsidR="00CE7169">
              <w:rPr>
                <w:rFonts w:ascii="Arial" w:eastAsia="Arial" w:hAnsi="Arial" w:cs="Arial"/>
                <w:sz w:val="19"/>
              </w:rPr>
              <w:t xml:space="preserve"> :</w:t>
            </w:r>
            <w:r w:rsidR="0074013F">
              <w:rPr>
                <w:rFonts w:ascii="Arial" w:eastAsia="Arial" w:hAnsi="Arial" w:cs="Arial"/>
                <w:sz w:val="19"/>
              </w:rPr>
              <w:t xml:space="preserve"> </w:t>
            </w:r>
            <w:proofErr w:type="gramStart"/>
            <w:r w:rsidR="0074013F">
              <w:rPr>
                <w:rFonts w:ascii="Arial" w:eastAsia="Arial" w:hAnsi="Arial" w:cs="Arial"/>
                <w:sz w:val="19"/>
              </w:rPr>
              <w:t xml:space="preserve">Nquthu </w:t>
            </w:r>
            <w:r>
              <w:rPr>
                <w:rFonts w:ascii="Arial" w:eastAsia="Arial" w:hAnsi="Arial" w:cs="Arial"/>
                <w:sz w:val="19"/>
              </w:rPr>
              <w:t xml:space="preserve"> Municipality</w:t>
            </w:r>
            <w:proofErr w:type="gramEnd"/>
            <w:r>
              <w:rPr>
                <w:rFonts w:ascii="Arial" w:eastAsia="Arial" w:hAnsi="Arial" w:cs="Arial"/>
                <w:sz w:val="19"/>
              </w:rPr>
              <w:t xml:space="preserve"> </w:t>
            </w:r>
          </w:p>
          <w:p w:rsidR="00286F63" w:rsidRDefault="00286F63" w:rsidP="00286F63">
            <w:pPr>
              <w:ind w:left="185"/>
            </w:pPr>
            <w:r>
              <w:rPr>
                <w:rFonts w:ascii="Arial" w:eastAsia="Arial" w:hAnsi="Arial" w:cs="Arial"/>
                <w:sz w:val="19"/>
              </w:rPr>
              <w:t xml:space="preserve">                                        </w:t>
            </w:r>
            <w:r w:rsidR="00EB66E4">
              <w:rPr>
                <w:rFonts w:ascii="Arial" w:eastAsia="Arial" w:hAnsi="Arial" w:cs="Arial"/>
                <w:sz w:val="19"/>
              </w:rPr>
              <w:t xml:space="preserve">   Department: Budget and Treasury Office / Executive &amp; Council</w:t>
            </w:r>
          </w:p>
          <w:p w:rsidR="00286F63" w:rsidRDefault="00286F63" w:rsidP="00286F63">
            <w:pPr>
              <w:ind w:left="185"/>
            </w:pPr>
            <w:r>
              <w:rPr>
                <w:rFonts w:ascii="Arial" w:eastAsia="Arial" w:hAnsi="Arial" w:cs="Arial"/>
                <w:sz w:val="19"/>
              </w:rPr>
              <w:t xml:space="preserve">                                        </w:t>
            </w:r>
            <w:r w:rsidR="00EB66E4">
              <w:rPr>
                <w:rFonts w:ascii="Arial" w:eastAsia="Arial" w:hAnsi="Arial" w:cs="Arial"/>
                <w:sz w:val="19"/>
              </w:rPr>
              <w:t xml:space="preserve">   Lot 83/2 Mdlalose Street</w:t>
            </w:r>
          </w:p>
          <w:p w:rsidR="00286F63" w:rsidRDefault="00286F63" w:rsidP="00286F63">
            <w:pPr>
              <w:ind w:left="185"/>
            </w:pPr>
            <w:r>
              <w:rPr>
                <w:rFonts w:ascii="Arial" w:eastAsia="Arial" w:hAnsi="Arial" w:cs="Arial"/>
                <w:sz w:val="19"/>
              </w:rPr>
              <w:t xml:space="preserve">                                        </w:t>
            </w:r>
            <w:r w:rsidR="00EB66E4">
              <w:rPr>
                <w:rFonts w:ascii="Arial" w:eastAsia="Arial" w:hAnsi="Arial" w:cs="Arial"/>
                <w:sz w:val="19"/>
              </w:rPr>
              <w:t xml:space="preserve">   Nquthu</w:t>
            </w:r>
          </w:p>
          <w:p w:rsidR="00286F63" w:rsidRDefault="00286F63" w:rsidP="00286F63">
            <w:pPr>
              <w:ind w:left="185"/>
            </w:pPr>
            <w:r>
              <w:rPr>
                <w:rFonts w:ascii="Arial" w:eastAsia="Arial" w:hAnsi="Arial" w:cs="Arial"/>
                <w:sz w:val="19"/>
              </w:rPr>
              <w:t xml:space="preserve">                                        </w:t>
            </w:r>
            <w:r w:rsidR="00EB66E4">
              <w:rPr>
                <w:rFonts w:ascii="Arial" w:eastAsia="Arial" w:hAnsi="Arial" w:cs="Arial"/>
                <w:sz w:val="19"/>
              </w:rPr>
              <w:t xml:space="preserve">   3135</w:t>
            </w:r>
          </w:p>
          <w:p w:rsidR="00FE2958" w:rsidRDefault="00FE2958" w:rsidP="00EB66E4">
            <w:pPr>
              <w:ind w:left="185"/>
              <w:rPr>
                <w:rFonts w:ascii="Arial" w:eastAsia="Arial" w:hAnsi="Arial" w:cs="Arial"/>
                <w:sz w:val="19"/>
              </w:rPr>
            </w:pPr>
          </w:p>
          <w:p w:rsidR="00FE2958" w:rsidRDefault="00FE2958" w:rsidP="00FE2958">
            <w:pPr>
              <w:rPr>
                <w:rFonts w:ascii="Arial" w:eastAsia="Arial" w:hAnsi="Arial" w:cs="Arial"/>
                <w:sz w:val="19"/>
              </w:rPr>
            </w:pPr>
            <w:r>
              <w:rPr>
                <w:rFonts w:ascii="Arial" w:eastAsia="Arial" w:hAnsi="Arial" w:cs="Arial"/>
                <w:sz w:val="19"/>
              </w:rPr>
              <w:t>The Municipal Manager</w:t>
            </w:r>
            <w:bookmarkStart w:id="0" w:name="_GoBack"/>
            <w:bookmarkEnd w:id="0"/>
          </w:p>
          <w:p w:rsidR="00FE2958" w:rsidRDefault="00FE2958" w:rsidP="00FE2958">
            <w:pPr>
              <w:rPr>
                <w:rFonts w:ascii="Arial" w:eastAsia="Arial" w:hAnsi="Arial" w:cs="Arial"/>
                <w:sz w:val="19"/>
              </w:rPr>
            </w:pPr>
            <w:r>
              <w:rPr>
                <w:rFonts w:ascii="Arial" w:eastAsia="Arial" w:hAnsi="Arial" w:cs="Arial"/>
                <w:sz w:val="19"/>
              </w:rPr>
              <w:t>Mr S B Mthembu</w:t>
            </w:r>
          </w:p>
          <w:p w:rsidR="00EB66E4" w:rsidRDefault="00CE7169" w:rsidP="00FE2958">
            <w:r>
              <w:rPr>
                <w:rFonts w:ascii="Arial" w:eastAsia="Arial" w:hAnsi="Arial" w:cs="Arial"/>
                <w:sz w:val="19"/>
              </w:rPr>
              <w:t>17</w:t>
            </w:r>
            <w:r w:rsidR="00FE2958">
              <w:rPr>
                <w:rFonts w:ascii="Arial" w:eastAsia="Arial" w:hAnsi="Arial" w:cs="Arial"/>
                <w:sz w:val="19"/>
              </w:rPr>
              <w:t>/06/2021</w:t>
            </w:r>
            <w:r w:rsidR="00286F63">
              <w:rPr>
                <w:rFonts w:ascii="Arial" w:eastAsia="Arial" w:hAnsi="Arial" w:cs="Arial"/>
                <w:sz w:val="19"/>
              </w:rPr>
              <w:t xml:space="preserve">                                        </w:t>
            </w:r>
          </w:p>
          <w:p w:rsidR="00286F63" w:rsidRDefault="00286F63" w:rsidP="00286F63">
            <w:pPr>
              <w:ind w:left="185"/>
            </w:pPr>
          </w:p>
        </w:tc>
      </w:tr>
      <w:tr w:rsidR="00286F63">
        <w:trPr>
          <w:trHeight w:val="12016"/>
        </w:trPr>
        <w:tc>
          <w:tcPr>
            <w:tcW w:w="9333" w:type="dxa"/>
            <w:tcBorders>
              <w:top w:val="single" w:sz="4" w:space="0" w:color="000000"/>
              <w:left w:val="single" w:sz="4" w:space="0" w:color="000000"/>
              <w:bottom w:val="single" w:sz="4" w:space="0" w:color="000000"/>
              <w:right w:val="single" w:sz="4" w:space="0" w:color="000000"/>
            </w:tcBorders>
          </w:tcPr>
          <w:p w:rsidR="00286F63" w:rsidRDefault="00286F63" w:rsidP="00286F63">
            <w:pPr>
              <w:ind w:left="185"/>
            </w:pPr>
          </w:p>
        </w:tc>
      </w:tr>
      <w:tr w:rsidR="00286F63">
        <w:trPr>
          <w:trHeight w:val="449"/>
        </w:trPr>
        <w:tc>
          <w:tcPr>
            <w:tcW w:w="9333" w:type="dxa"/>
            <w:tcBorders>
              <w:top w:val="single" w:sz="4" w:space="0" w:color="000000"/>
              <w:left w:val="single" w:sz="4" w:space="0" w:color="000000"/>
              <w:bottom w:val="single" w:sz="4" w:space="0" w:color="000000"/>
              <w:right w:val="single" w:sz="4" w:space="0" w:color="000000"/>
            </w:tcBorders>
          </w:tcPr>
          <w:p w:rsidR="00286F63" w:rsidRDefault="00286F63" w:rsidP="00286F63">
            <w:pPr>
              <w:ind w:left="3343" w:right="3192"/>
              <w:jc w:val="center"/>
            </w:pPr>
          </w:p>
        </w:tc>
      </w:tr>
    </w:tbl>
    <w:p w:rsidR="009256B1" w:rsidRDefault="009B1995">
      <w:pPr>
        <w:spacing w:after="0"/>
        <w:ind w:left="-1202"/>
        <w:jc w:val="both"/>
      </w:pPr>
      <w:r>
        <w:rPr>
          <w:rFonts w:ascii="Arial" w:eastAsia="Arial" w:hAnsi="Arial" w:cs="Arial"/>
          <w:sz w:val="16"/>
        </w:rPr>
        <w:t xml:space="preserve"> </w:t>
      </w:r>
    </w:p>
    <w:sectPr w:rsidR="009256B1">
      <w:pgSz w:w="11906" w:h="16838"/>
      <w:pgMar w:top="338" w:right="1440" w:bottom="66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B1"/>
    <w:rsid w:val="000404D7"/>
    <w:rsid w:val="00184878"/>
    <w:rsid w:val="001E0D0D"/>
    <w:rsid w:val="00286F63"/>
    <w:rsid w:val="0074013F"/>
    <w:rsid w:val="00783B3F"/>
    <w:rsid w:val="009256B1"/>
    <w:rsid w:val="009B1995"/>
    <w:rsid w:val="00AC4934"/>
    <w:rsid w:val="00BA3F1E"/>
    <w:rsid w:val="00CE7169"/>
    <w:rsid w:val="00E86855"/>
    <w:rsid w:val="00EB66E4"/>
    <w:rsid w:val="00FE2958"/>
    <w:rsid w:val="00FE6D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82CC"/>
  <w15:docId w15:val="{FF7AB851-C9C2-4001-9953-CEFB300C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B66E4"/>
    <w:rPr>
      <w:color w:val="0563C1" w:themeColor="hyperlink"/>
      <w:u w:val="single"/>
    </w:rPr>
  </w:style>
  <w:style w:type="paragraph" w:styleId="BalloonText">
    <w:name w:val="Balloon Text"/>
    <w:basedOn w:val="Normal"/>
    <w:link w:val="BalloonTextChar"/>
    <w:uiPriority w:val="99"/>
    <w:semiHidden/>
    <w:unhideWhenUsed/>
    <w:rsid w:val="009B1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9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nquthu.gov.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Sinikeziwe Zulu</cp:lastModifiedBy>
  <cp:revision>6</cp:revision>
  <cp:lastPrinted>2021-07-02T07:00:00Z</cp:lastPrinted>
  <dcterms:created xsi:type="dcterms:W3CDTF">2021-07-01T12:27:00Z</dcterms:created>
  <dcterms:modified xsi:type="dcterms:W3CDTF">2021-07-02T07:15:00Z</dcterms:modified>
</cp:coreProperties>
</file>